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西林县民政局2025年公开招聘编外聘用人员岗位计划表</w:t>
      </w:r>
    </w:p>
    <w:bookmarkEnd w:id="1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665"/>
        <w:gridCol w:w="2355"/>
        <w:gridCol w:w="1065"/>
        <w:gridCol w:w="1054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西林县社会福利院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。具有养老机构护理工作经验的人员，年龄可放宽至45周岁以下。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那劳敬老院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。具有养老机构护理工作经验的人员，年龄可放宽至45周岁以下。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那佐敬老院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。具有养老机构护理工作经验的人员，年龄可放宽至45周岁以下。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109E7-2D95-41B6-9AE1-3CE9EDD0B4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098CA4-047A-4672-A3FA-83F18C2B3AF2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463D3F-C581-4282-9184-D8112D0B97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586FD7-247E-4822-993C-E3FB7CEC40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1778C"/>
    <w:rsid w:val="3401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2025-09-29T08:51:00Z</dcterms:created>
  <dc:creator>木易泽亚诺</dc:creator>
  <cp:lastModifiedBy>木易泽亚诺</cp:lastModifiedBy>
  <dcterms:modified xsi:type="dcterms:W3CDTF">2025-09-29T08:51:54Z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DD1C723D11C64A0C8EAB89A8D9670107</vt:lpwstr>
  </property>
</Properties>
</file>